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C78" w:rsidRDefault="00C70C78" w:rsidP="00C70C78">
      <w:pPr>
        <w:pStyle w:val="st"/>
      </w:pPr>
      <w:r>
        <w:rPr>
          <w:rStyle w:val="Pogrubienie"/>
        </w:rPr>
        <w:t>Biblia w każdej katolickiej rodzinie</w:t>
      </w:r>
    </w:p>
    <w:p w:rsidR="00C70C78" w:rsidRDefault="00C70C78" w:rsidP="00C70C78">
      <w:pPr>
        <w:pStyle w:val="sb"/>
      </w:pPr>
      <w:r>
        <w:t>JEŻELI się zaliczasz, drogi czytelniku, do członków Kościoła rzymskokatolickiego, czy masz w swoim domu Biblię? Nie chodzi tu o </w:t>
      </w:r>
      <w:proofErr w:type="spellStart"/>
      <w:r>
        <w:t>mszalnik</w:t>
      </w:r>
      <w:proofErr w:type="spellEnd"/>
      <w:r>
        <w:t xml:space="preserve"> ani też o psałterz, tylko o całe Pismo święte, od początku do końca, to jest od Księgi Rodzaju aż do Apokalipsy, czyli Objawienia. Być może zresztą ogarniają cię wątpliwości: Czy w ogóle Kościół pozwala na prywatne posiadanie Biblii? — Owszem, pozwala.</w:t>
      </w:r>
    </w:p>
    <w:p w:rsidR="00C70C78" w:rsidRDefault="00C70C78" w:rsidP="00C70C78">
      <w:pPr>
        <w:pStyle w:val="sb"/>
      </w:pPr>
      <w:r>
        <w:t xml:space="preserve">Papież Pius XII w głośnej encyklice </w:t>
      </w:r>
      <w:r>
        <w:rPr>
          <w:rStyle w:val="Uwydatnienie"/>
        </w:rPr>
        <w:t>„</w:t>
      </w:r>
      <w:proofErr w:type="spellStart"/>
      <w:r>
        <w:rPr>
          <w:rStyle w:val="Uwydatnienie"/>
        </w:rPr>
        <w:t>Divino</w:t>
      </w:r>
      <w:proofErr w:type="spellEnd"/>
      <w:r>
        <w:rPr>
          <w:rStyle w:val="Uwydatnienie"/>
        </w:rPr>
        <w:t xml:space="preserve"> </w:t>
      </w:r>
      <w:proofErr w:type="spellStart"/>
      <w:r>
        <w:rPr>
          <w:rStyle w:val="Uwydatnienie"/>
        </w:rPr>
        <w:t>Afflante</w:t>
      </w:r>
      <w:proofErr w:type="spellEnd"/>
      <w:r>
        <w:rPr>
          <w:rStyle w:val="Uwydatnienie"/>
        </w:rPr>
        <w:t xml:space="preserve"> </w:t>
      </w:r>
      <w:proofErr w:type="spellStart"/>
      <w:r>
        <w:rPr>
          <w:rStyle w:val="Uwydatnienie"/>
        </w:rPr>
        <w:t>Spiritu</w:t>
      </w:r>
      <w:proofErr w:type="spellEnd"/>
      <w:r>
        <w:rPr>
          <w:rStyle w:val="Uwydatnienie"/>
        </w:rPr>
        <w:t xml:space="preserve">” </w:t>
      </w:r>
      <w:r>
        <w:t>(„Pod natchnieniem Ducha Świętego”, 1943) wyraził życzenie, aby ludzie „gorliwiej przykładali się do poznawania i rozważania Pisma świętego (...), ponieważ — jak mówi św. Hieronim — ‚nieznajomość Pisma to nieznajomość Chrystusa’”.</w:t>
      </w:r>
    </w:p>
    <w:p w:rsidR="00C70C78" w:rsidRDefault="00C70C78" w:rsidP="00C70C78">
      <w:pPr>
        <w:pStyle w:val="sb"/>
      </w:pPr>
      <w:r>
        <w:t xml:space="preserve">Jeden z dokumentów opracowanych w ramach Drugiego Soboru Watykańskiego (1962-1965), „Boskie objawienie” (po łacinie: </w:t>
      </w:r>
      <w:proofErr w:type="spellStart"/>
      <w:r>
        <w:rPr>
          <w:rStyle w:val="Uwydatnienie"/>
        </w:rPr>
        <w:t>Dei</w:t>
      </w:r>
      <w:proofErr w:type="spellEnd"/>
      <w:r>
        <w:rPr>
          <w:rStyle w:val="Uwydatnienie"/>
        </w:rPr>
        <w:t xml:space="preserve"> </w:t>
      </w:r>
      <w:proofErr w:type="spellStart"/>
      <w:r>
        <w:rPr>
          <w:rStyle w:val="Uwydatnienie"/>
        </w:rPr>
        <w:t>Verbum</w:t>
      </w:r>
      <w:proofErr w:type="spellEnd"/>
      <w:r>
        <w:t>), stwierdza w paragrafie 22: „Wszystkim wiernym Chrystusowym należy zapewnić szeroki dostęp do Pisma świętego (...). Słowo Boże powinno być w każdej chwili do dyspozycji.”</w:t>
      </w:r>
    </w:p>
    <w:p w:rsidR="00C70C78" w:rsidRDefault="00C70C78" w:rsidP="00C70C78">
      <w:pPr>
        <w:pStyle w:val="sb"/>
      </w:pPr>
      <w:r>
        <w:t xml:space="preserve">Znacznie ważniejsza niż głos autorytetów ludzkich jest jednak zachęta do czytania Słowa Bożego, jaką znajdujemy w samej Biblii. Odszukaj na przykład w swojej Biblii rozdział trzeci Drugiego Listu apostoła Pawła do Tymoteusza, a w nim </w:t>
      </w:r>
      <w:hyperlink r:id="rId4" w:history="1">
        <w:r>
          <w:rPr>
            <w:rStyle w:val="Hipercze"/>
          </w:rPr>
          <w:t>wersety 16 i 17</w:t>
        </w:r>
      </w:hyperlink>
      <w:r>
        <w:t>. Według rzymskokatolickiego tłumaczenia ks. J. Wujka (Kraków, 1962) tekst ten brzmi: „Wszelkie Pismo, od Boga natchnione, pożyteczne jest dla nauczania, do przekonywania, do karcenia, do kształcenia w sprawiedliwości, aby człowiek Boży był doskonały, do wszelkiego dobrego dzieła zaprawiony.”</w:t>
      </w:r>
    </w:p>
    <w:p w:rsidR="00C70C78" w:rsidRDefault="00C70C78" w:rsidP="00C70C78">
      <w:pPr>
        <w:pStyle w:val="ss"/>
      </w:pPr>
      <w:r>
        <w:rPr>
          <w:rStyle w:val="Pogrubienie"/>
        </w:rPr>
        <w:t>UBOLEWANIE NAD BRAKIEM ZAINTERESOWANIA BIBLIĄ</w:t>
      </w:r>
    </w:p>
    <w:p w:rsidR="00C70C78" w:rsidRDefault="00C70C78" w:rsidP="00C70C78">
      <w:pPr>
        <w:pStyle w:val="sb"/>
      </w:pPr>
      <w:r>
        <w:t>Wielu katolików zastosowało się do powyższej zachęty i zaczęło czytać Słowo Boże. Inni jednak nie okazali tak żywego zainteresowania tą Księgą. Rzymskokatolicki tłumacz Biblii, ks. prałat Roland A. Knox, stwierdził ze smutkiem: „Przekonałem się, że laicy odnoszą się do Biblii ze znaczną dozą obojętności, a niekiedy — zupełnie zdezorientowani — wręcz wrogo.” A dlaczego tak się dzieje?</w:t>
      </w:r>
    </w:p>
    <w:p w:rsidR="00C70C78" w:rsidRDefault="00C70C78" w:rsidP="00C70C78">
      <w:pPr>
        <w:pStyle w:val="sb"/>
      </w:pPr>
      <w:r>
        <w:t>Otóż przede wszystkim duchowieństwo katolickie nie przejawia zainteresowania czytaniem Biblii. Ksiądz Knox pisze dalej: „Sporo jeździłem dawniej z kazaniami, a gdy poprosiłem jednego czy drugiego proboszcza o Biblię, aby odczytać z niej wersety na poparcie moich wywodów, wtedy na ogół następowała mniej więcej dwudziestominutowa znamienna przerwa, po czym wracali, dmuchając jeszcze na tę świętą Księgę i otrzepując jej karty. Czuło się wyraźnie, że świeże wino Ewangelii było trzymane w niezwykle omszałych naczyniach”. Jeżeli samo duchowieństwo jest obojętne wobec Biblii, to oczywiście większość laików idzie jego śladami.</w:t>
      </w:r>
    </w:p>
    <w:p w:rsidR="00C70C78" w:rsidRDefault="00C70C78" w:rsidP="00C70C78">
      <w:pPr>
        <w:pStyle w:val="sb"/>
      </w:pPr>
      <w:r>
        <w:t>Co prawda, udzielono pewnej zachęty księżom i wychowawcom katolickim, żeby częściej korzystali z Biblii, ale bardzo mało uczyniono, by te zalecenia wprowadzić w czyn. Ile razy słyszałeś swego księdza nawołującego do czytania Biblii?</w:t>
      </w:r>
    </w:p>
    <w:p w:rsidR="00C70C78" w:rsidRDefault="00C70C78" w:rsidP="00C70C78">
      <w:pPr>
        <w:pStyle w:val="sb"/>
      </w:pPr>
      <w:r>
        <w:t>A Bóg przecież zgotował swe natchnione Słowo, aby człowiek mógł je czytać i dzięki temu był ‚doskonale zaprawiony do wszelkiego dobrego dzieła’ (</w:t>
      </w:r>
      <w:hyperlink r:id="rId5" w:history="1">
        <w:r>
          <w:rPr>
            <w:rStyle w:val="Hipercze"/>
          </w:rPr>
          <w:t>2 Tym. 3:17</w:t>
        </w:r>
      </w:hyperlink>
      <w:r>
        <w:t xml:space="preserve">, </w:t>
      </w:r>
      <w:proofErr w:type="spellStart"/>
      <w:r>
        <w:rPr>
          <w:rStyle w:val="Uwydatnienie"/>
        </w:rPr>
        <w:t>Wk</w:t>
      </w:r>
      <w:proofErr w:type="spellEnd"/>
      <w:r>
        <w:t>). Ileż dobrego by dało, gdyby wszyscy katolicy w pełni korzystali z tego daru Bożego!</w:t>
      </w:r>
    </w:p>
    <w:p w:rsidR="00C70C78" w:rsidRDefault="00C70C78" w:rsidP="00C70C78">
      <w:pPr>
        <w:pStyle w:val="sb"/>
      </w:pPr>
      <w:r>
        <w:lastRenderedPageBreak/>
        <w:t>Katolicy na ogół wolą się posługiwać wydaniami Biblii, opracowanymi przez uczonych należących do ich Kościoła. Stoi im do dyspozycji sporo współczesnych przekładów katolickich. W języku polskim można między innymi korzystać z </w:t>
      </w:r>
      <w:r>
        <w:rPr>
          <w:rStyle w:val="Uwydatnienie"/>
        </w:rPr>
        <w:t>Biblii Tysiąclecia</w:t>
      </w:r>
      <w:r>
        <w:t xml:space="preserve">, z nie ukończonej jeszcze edycji </w:t>
      </w:r>
      <w:r>
        <w:rPr>
          <w:rStyle w:val="Uwydatnienie"/>
        </w:rPr>
        <w:t>Biblii poznańskiej</w:t>
      </w:r>
      <w:r>
        <w:t xml:space="preserve">, z przejrzanej na nowo wersji ks. Wujka (tzw. </w:t>
      </w:r>
      <w:r>
        <w:rPr>
          <w:rStyle w:val="Uwydatnienie"/>
        </w:rPr>
        <w:t>Biblii krakowskiej</w:t>
      </w:r>
      <w:r>
        <w:t>) oraz z Nowego Testamentu czy to w tłumaczeniu ks. S. Kowalskiego, czy też ks. E. Dąbrowskiego. Wydania te są dobrze zrozumiałe, ponieważ występuje w nich współczesny język, natomiast wyeliminowano z nich wiele wyrażeń archaicznych, które trudno byłoby pojąć większości dzisiejszych czytelników.</w:t>
      </w:r>
    </w:p>
    <w:p w:rsidR="00C70C78" w:rsidRDefault="00C70C78" w:rsidP="00C70C78">
      <w:pPr>
        <w:pStyle w:val="ss"/>
      </w:pPr>
      <w:r>
        <w:rPr>
          <w:rStyle w:val="Pogrubienie"/>
        </w:rPr>
        <w:t>CZY BIBLIA JEST ZBYT TRUDNA DO ZROZUMIENIA?</w:t>
      </w:r>
    </w:p>
    <w:p w:rsidR="00C70C78" w:rsidRDefault="00C70C78" w:rsidP="00C70C78">
      <w:pPr>
        <w:pStyle w:val="sb"/>
      </w:pPr>
      <w:r>
        <w:t xml:space="preserve">Jednakże nawet ze współczesnymi przekładami niektórzy mają kłopot. Pisarz katolicki Dom </w:t>
      </w:r>
      <w:proofErr w:type="spellStart"/>
      <w:r>
        <w:t>Celestin</w:t>
      </w:r>
      <w:proofErr w:type="spellEnd"/>
      <w:r>
        <w:t xml:space="preserve"> </w:t>
      </w:r>
      <w:proofErr w:type="spellStart"/>
      <w:r>
        <w:t>Charlier</w:t>
      </w:r>
      <w:proofErr w:type="spellEnd"/>
      <w:r>
        <w:t xml:space="preserve"> wskazał na to takimi słowami: „Zbyt dużo ludzi daje się zniechęcić do czytania Biblii przez pierwszą napotkaną trudność. Skarżą się zaraz, że nic nie rozumieją, i rezygnują, zanim jeszcze właściwie rozpoczęli.”</w:t>
      </w:r>
    </w:p>
    <w:p w:rsidR="00C70C78" w:rsidRDefault="00C70C78" w:rsidP="00C70C78">
      <w:pPr>
        <w:pStyle w:val="sb"/>
      </w:pPr>
      <w:r>
        <w:t>Ale czy Biblia jest rzeczywiście trudna do zrozumienia? Czy trzeba przejść specjalne szkolenie, żeby przeniknąć prawdy zawarte w Słowie Bożym? Bynajmniej!</w:t>
      </w:r>
    </w:p>
    <w:p w:rsidR="00C70C78" w:rsidRDefault="00C70C78" w:rsidP="00C70C78">
      <w:pPr>
        <w:pStyle w:val="sb"/>
      </w:pPr>
      <w:r>
        <w:t xml:space="preserve">Na temat Piotra i Jana, dwóch spośród dwunastu apostołów Jezusa, czytamy, że dostojnicy żydowscy, starsi i biegli w piśmie „widząc (...) odwagę Piotra i Jana, i dowiedziawszy się, że byli to ludzie bez nauki i prości, dziwili się”. — </w:t>
      </w:r>
      <w:hyperlink r:id="rId6" w:history="1">
        <w:r>
          <w:rPr>
            <w:rStyle w:val="Hipercze"/>
          </w:rPr>
          <w:t>Dzieje 4:13</w:t>
        </w:r>
      </w:hyperlink>
      <w:r>
        <w:t>, </w:t>
      </w:r>
      <w:proofErr w:type="spellStart"/>
      <w:r>
        <w:rPr>
          <w:rStyle w:val="Uwydatnienie"/>
        </w:rPr>
        <w:t>Wk</w:t>
      </w:r>
      <w:proofErr w:type="spellEnd"/>
      <w:r>
        <w:t>.</w:t>
      </w:r>
    </w:p>
    <w:p w:rsidR="00C70C78" w:rsidRDefault="00C70C78" w:rsidP="00C70C78">
      <w:pPr>
        <w:pStyle w:val="sb"/>
      </w:pPr>
      <w:r>
        <w:t>„Ludzie bez nauki i prości” — tacy chodzili z Jezusem i takich zaprawiał on, a potem wysyłał, by nauczali innych. Potrafili w sposób właściwy zrozumieć Słowo Boże. A ty, czytelniku, również możesz je zrozumieć, jeśli nie zaniechasz czytania go i studiowania.</w:t>
      </w:r>
    </w:p>
    <w:p w:rsidR="00C70C78" w:rsidRDefault="00C70C78" w:rsidP="00C70C78">
      <w:pPr>
        <w:pStyle w:val="ss"/>
      </w:pPr>
      <w:r>
        <w:rPr>
          <w:rStyle w:val="Pogrubienie"/>
        </w:rPr>
        <w:t>JAK PRZEDSTAWIA SIĘ SPRAWA Z WYKŁADANIEM?</w:t>
      </w:r>
    </w:p>
    <w:p w:rsidR="00C70C78" w:rsidRDefault="00C70C78" w:rsidP="00C70C78">
      <w:pPr>
        <w:pStyle w:val="sb"/>
      </w:pPr>
      <w:r>
        <w:t xml:space="preserve">Niektórzy w tym miejscu gotowi będą zapytać: Czyż nie jest prawdą, że Biblię można wykładać na wiele sposobów? Gdybym ją sam czytał, czy nie naraziłbym się na możliwość mylnego zrozumienia? — Sama Biblia wskazuje, jak ominąć tę pułapkę. W Księdze </w:t>
      </w:r>
      <w:hyperlink r:id="rId7" w:history="1">
        <w:r>
          <w:rPr>
            <w:rStyle w:val="Hipercze"/>
          </w:rPr>
          <w:t>Rodzaju 40:8</w:t>
        </w:r>
      </w:hyperlink>
      <w:r>
        <w:t xml:space="preserve"> czytamy: „Bożą rzeczą jest wykład” (</w:t>
      </w:r>
      <w:proofErr w:type="spellStart"/>
      <w:r>
        <w:rPr>
          <w:rStyle w:val="Uwydatnienie"/>
        </w:rPr>
        <w:t>Wk</w:t>
      </w:r>
      <w:proofErr w:type="spellEnd"/>
      <w:r>
        <w:t>). Jak można w dobie obecnej stosować tę zasadę?</w:t>
      </w:r>
    </w:p>
    <w:p w:rsidR="00C70C78" w:rsidRDefault="00C70C78" w:rsidP="00C70C78">
      <w:pPr>
        <w:pStyle w:val="sb"/>
      </w:pPr>
      <w:r>
        <w:t>Oczywiście nie znaczy to, że Bóg zejdzie z nieba, aby porozmawiać z tym, kto akurat czyta Biblię. Ale można otrzymać objaśnienie od Boga, gdy się pozwoli, by jedna część Jego natchnionego Słowa tłumaczyła inną. Słowo Boże w znacznej mierze samo siebie wykłada.</w:t>
      </w:r>
    </w:p>
    <w:p w:rsidR="00C70C78" w:rsidRDefault="00C70C78" w:rsidP="00C70C78">
      <w:pPr>
        <w:pStyle w:val="sb"/>
      </w:pPr>
      <w:r>
        <w:t>Podkreśla to jeszcze bardziej, jak ważne jest systematyczne czytanie Biblii. Wyposaża ono czytelnika w umiejętność odpowiedniego porównywania różnych wersetów celem wyjaśnienia trudniejszych fragmentów. Zatem kwestia wykładu powinna raczej zachęcać do czytania Biblii niż odstręczać od niej.</w:t>
      </w:r>
    </w:p>
    <w:p w:rsidR="00C70C78" w:rsidRDefault="00C70C78" w:rsidP="00C70C78">
      <w:pPr>
        <w:pStyle w:val="sb"/>
      </w:pPr>
      <w:r>
        <w:t>Jeżeli jesteś katolikiem, to czy ksiądz nakłaniał cię do czytania Biblii i do porównania tego, co przeczytałeś, z naukami Kościoła? Większość księży uchyla się od tego. Dlaczego? Sprawdź osobiście w załączonej tabeli pewne znamienne fakty i wyciągnij własne wnioski.</w:t>
      </w:r>
    </w:p>
    <w:p w:rsidR="00C70C78" w:rsidRDefault="00C70C78" w:rsidP="00C70C78">
      <w:pPr>
        <w:pStyle w:val="se"/>
      </w:pPr>
    </w:p>
    <w:p w:rsidR="00C70C78" w:rsidRDefault="00C70C78" w:rsidP="00C70C78">
      <w:pPr>
        <w:pStyle w:val="sc"/>
      </w:pPr>
      <w:r>
        <w:rPr>
          <w:rStyle w:val="Pogrubienie"/>
        </w:rPr>
        <w:lastRenderedPageBreak/>
        <w:t>PORÓWNANIE</w:t>
      </w:r>
    </w:p>
    <w:p w:rsidR="00C70C78" w:rsidRDefault="00C70C78" w:rsidP="00C70C78">
      <w:pPr>
        <w:pStyle w:val="sc"/>
      </w:pPr>
      <w:r>
        <w:rPr>
          <w:rStyle w:val="Pogrubienie"/>
        </w:rPr>
        <w:t>NAUK KATOLICKICH</w:t>
      </w:r>
    </w:p>
    <w:p w:rsidR="00C70C78" w:rsidRDefault="00C70C78" w:rsidP="00C70C78">
      <w:pPr>
        <w:pStyle w:val="sv"/>
      </w:pPr>
      <w:r>
        <w:rPr>
          <w:rStyle w:val="Pogrubienie"/>
        </w:rPr>
        <w:t>Z BIBLIĄ KATOLICKĄ</w:t>
      </w:r>
    </w:p>
    <w:p w:rsidR="00C70C78" w:rsidRDefault="00C70C78" w:rsidP="00C70C78">
      <w:pPr>
        <w:pStyle w:val="se"/>
      </w:pPr>
      <w:r>
        <w:rPr>
          <w:rStyle w:val="Pogrubienie"/>
        </w:rPr>
        <w:t>Czy księżom wolno się żenić?</w:t>
      </w:r>
    </w:p>
    <w:p w:rsidR="00C70C78" w:rsidRDefault="00C70C78" w:rsidP="00C70C78">
      <w:pPr>
        <w:pStyle w:val="sc"/>
      </w:pPr>
      <w:r>
        <w:t xml:space="preserve">„Duchownym (...) zabronione jest małżeństwo i mają oni obowiązek przestrzegać czystości moralnej do tego stopnia, że wszelki grzech pożądania z ich strony oznacza nie tylko pogwałcenie cnoty czystości, ale także grzech świętokradztwa, równoznaczny — jak wiadomo — z pogwałceniem godności religii.” — „New </w:t>
      </w:r>
      <w:proofErr w:type="spellStart"/>
      <w:r>
        <w:t>Catholic</w:t>
      </w:r>
      <w:proofErr w:type="spellEnd"/>
      <w:r>
        <w:t xml:space="preserve"> </w:t>
      </w:r>
      <w:proofErr w:type="spellStart"/>
      <w:r>
        <w:t>Encyclopedia</w:t>
      </w:r>
      <w:proofErr w:type="spellEnd"/>
      <w:r>
        <w:t>”, tom 3, strona 367.</w:t>
      </w:r>
    </w:p>
    <w:p w:rsidR="00C70C78" w:rsidRDefault="00C70C78" w:rsidP="00C70C78">
      <w:pPr>
        <w:pStyle w:val="se"/>
      </w:pPr>
      <w:r>
        <w:t>„Obowiązujące prawo celibatu powinno nadal pozostawać ściśle związane ze służbą duchowną w ramach Kościoła.” — Papież Paweł VI, według pisma „Newsweek” z 3 lipca 1967 r., na stronie 72.</w:t>
      </w:r>
    </w:p>
    <w:p w:rsidR="00C70C78" w:rsidRDefault="00C70C78" w:rsidP="00C70C78">
      <w:pPr>
        <w:pStyle w:val="sv"/>
      </w:pPr>
      <w:r>
        <w:t xml:space="preserve">„Ma tedy biskup być (...) żonaty tylko raz.” — </w:t>
      </w:r>
      <w:hyperlink r:id="rId8" w:history="1">
        <w:r>
          <w:rPr>
            <w:rStyle w:val="Hipercze"/>
          </w:rPr>
          <w:t>List 1 do Tymoteusza 3:2</w:t>
        </w:r>
      </w:hyperlink>
      <w:r>
        <w:t>, </w:t>
      </w:r>
      <w:proofErr w:type="spellStart"/>
      <w:r>
        <w:rPr>
          <w:rStyle w:val="Uwydatnienie"/>
        </w:rPr>
        <w:t>NDb</w:t>
      </w:r>
      <w:proofErr w:type="spellEnd"/>
      <w:r>
        <w:t>.</w:t>
      </w:r>
    </w:p>
    <w:p w:rsidR="00C70C78" w:rsidRDefault="00C70C78" w:rsidP="00C70C78">
      <w:pPr>
        <w:pStyle w:val="sv"/>
      </w:pPr>
      <w:r>
        <w:t>„Czy nie mamy prawa zabierać ze sobą chrześcijańskiej niewiasty, tak jak to czynią inni apostołowie, bracia Pana i </w:t>
      </w:r>
      <w:proofErr w:type="spellStart"/>
      <w:r>
        <w:t>Kefas</w:t>
      </w:r>
      <w:proofErr w:type="spellEnd"/>
      <w:r>
        <w:t xml:space="preserve"> [Piotr]?” — List </w:t>
      </w:r>
      <w:hyperlink r:id="rId9" w:history="1">
        <w:r>
          <w:rPr>
            <w:rStyle w:val="Hipercze"/>
          </w:rPr>
          <w:t>1 do Koryntian 9:5</w:t>
        </w:r>
      </w:hyperlink>
      <w:r>
        <w:t>, </w:t>
      </w:r>
      <w:proofErr w:type="spellStart"/>
      <w:r>
        <w:rPr>
          <w:rStyle w:val="Uwydatnienie"/>
        </w:rPr>
        <w:t>Kow</w:t>
      </w:r>
      <w:proofErr w:type="spellEnd"/>
      <w:r>
        <w:t>.</w:t>
      </w:r>
    </w:p>
    <w:p w:rsidR="00C70C78" w:rsidRDefault="00C70C78" w:rsidP="00C70C78">
      <w:pPr>
        <w:pStyle w:val="sv"/>
      </w:pPr>
      <w:r>
        <w:t xml:space="preserve">„Duch powiada wyraźnie: w późniejszych wiekach odstąpią niektórzy od wiary, aby przyłączyć się do duchów zwodniczych i do nauk szatańskich; (...) zakażą wstępować w związki małżeńskie.” — List </w:t>
      </w:r>
      <w:hyperlink r:id="rId10" w:history="1">
        <w:r>
          <w:rPr>
            <w:rStyle w:val="Hipercze"/>
          </w:rPr>
          <w:t>1 do Tymoteusza 4:1,</w:t>
        </w:r>
      </w:hyperlink>
      <w:hyperlink r:id="rId11" w:history="1">
        <w:r>
          <w:rPr>
            <w:rStyle w:val="Hipercze"/>
          </w:rPr>
          <w:t xml:space="preserve"> 3</w:t>
        </w:r>
      </w:hyperlink>
      <w:r>
        <w:t>, </w:t>
      </w:r>
      <w:proofErr w:type="spellStart"/>
      <w:r>
        <w:rPr>
          <w:rStyle w:val="Uwydatnienie"/>
        </w:rPr>
        <w:t>Kow</w:t>
      </w:r>
      <w:proofErr w:type="spellEnd"/>
      <w:r>
        <w:t>.</w:t>
      </w:r>
    </w:p>
    <w:p w:rsidR="00C70C78" w:rsidRDefault="00C70C78" w:rsidP="00C70C78">
      <w:pPr>
        <w:pStyle w:val="se"/>
      </w:pPr>
      <w:r>
        <w:rPr>
          <w:rStyle w:val="Pogrubienie"/>
        </w:rPr>
        <w:t>Stosunek do wojny</w:t>
      </w:r>
    </w:p>
    <w:p w:rsidR="00C70C78" w:rsidRDefault="00C70C78" w:rsidP="00C70C78">
      <w:pPr>
        <w:pStyle w:val="sc"/>
      </w:pPr>
      <w:r>
        <w:t>„Nie możemy (...) tu pominąć historycznego faktu, że biskupi konsekwentnie popierali wszystkie wojny prowadzone przez rządy ich krajów.</w:t>
      </w:r>
    </w:p>
    <w:p w:rsidR="00C70C78" w:rsidRDefault="00C70C78" w:rsidP="00C70C78">
      <w:pPr>
        <w:pStyle w:val="se"/>
      </w:pPr>
      <w:r>
        <w:t>Nie znam właściwie ani jednego przykładu, by hierarchia jakiegoś kraju potępiła wojnę, uznawszy ją za niesprawiedliwą (...). Bez względu na oficjalne teorie biskupi katoliccy w praktyce stosowali w czasach wojen maksymę: ‚Moja ojczyzna zawsze ma rację’.” — Historyk katolicki E.I. </w:t>
      </w:r>
      <w:proofErr w:type="spellStart"/>
      <w:r>
        <w:t>Watkin</w:t>
      </w:r>
      <w:proofErr w:type="spellEnd"/>
      <w:r>
        <w:t>.</w:t>
      </w:r>
    </w:p>
    <w:p w:rsidR="00C70C78" w:rsidRDefault="00C70C78" w:rsidP="00C70C78">
      <w:pPr>
        <w:pStyle w:val="sv"/>
      </w:pPr>
      <w:r>
        <w:t xml:space="preserve">„Rzekł mu Jezus: (...) wszyscy, którzy miecz biorą, mieczem poginą.” — Ewangelia według </w:t>
      </w:r>
      <w:hyperlink r:id="rId12" w:history="1">
        <w:r>
          <w:rPr>
            <w:rStyle w:val="Hipercze"/>
          </w:rPr>
          <w:t>Mateusza 26:52</w:t>
        </w:r>
      </w:hyperlink>
      <w:r>
        <w:t>, </w:t>
      </w:r>
      <w:proofErr w:type="spellStart"/>
      <w:r>
        <w:rPr>
          <w:rStyle w:val="Uwydatnienie"/>
        </w:rPr>
        <w:t>Wk</w:t>
      </w:r>
      <w:proofErr w:type="spellEnd"/>
      <w:r>
        <w:t>.</w:t>
      </w:r>
    </w:p>
    <w:p w:rsidR="00C70C78" w:rsidRDefault="00C70C78" w:rsidP="00C70C78">
      <w:pPr>
        <w:pStyle w:val="sv"/>
      </w:pPr>
      <w:r>
        <w:t>„Jezus (...) nauczał ich, mówiąc: (...) Miłujcie nieprzyjaciół waszych, dobrze czyńcie tym, którzy was mają w nienawiści, a módlcie się za prześladujących i </w:t>
      </w:r>
      <w:proofErr w:type="spellStart"/>
      <w:r>
        <w:t>potwarzających</w:t>
      </w:r>
      <w:proofErr w:type="spellEnd"/>
      <w:r>
        <w:t xml:space="preserve"> was, abyście byli synami Ojca waszego, który jest w niebiosach.” — Ewangelia według </w:t>
      </w:r>
      <w:hyperlink r:id="rId13" w:history="1">
        <w:r>
          <w:rPr>
            <w:rStyle w:val="Hipercze"/>
          </w:rPr>
          <w:t>Mateusza 5:1, 2,</w:t>
        </w:r>
      </w:hyperlink>
      <w:hyperlink r:id="rId14" w:history="1">
        <w:r>
          <w:rPr>
            <w:rStyle w:val="Hipercze"/>
          </w:rPr>
          <w:t xml:space="preserve"> 44, 45</w:t>
        </w:r>
      </w:hyperlink>
      <w:r>
        <w:t>, </w:t>
      </w:r>
      <w:proofErr w:type="spellStart"/>
      <w:r>
        <w:rPr>
          <w:rStyle w:val="Uwydatnienie"/>
        </w:rPr>
        <w:t>Wk</w:t>
      </w:r>
      <w:proofErr w:type="spellEnd"/>
      <w:r>
        <w:t>.</w:t>
      </w:r>
    </w:p>
    <w:p w:rsidR="00C70C78" w:rsidRDefault="00C70C78" w:rsidP="00C70C78">
      <w:pPr>
        <w:pStyle w:val="se"/>
      </w:pPr>
      <w:r>
        <w:t>„Kościoły chrześcijańskie często pozostawiają wrażenie, że gotowe są pobłogosławić każdą wojnę bądź awanturę, w jaką się zaangażują przywódcy państwowi.” — W.J. </w:t>
      </w:r>
      <w:proofErr w:type="spellStart"/>
      <w:r>
        <w:t>Whalen</w:t>
      </w:r>
      <w:proofErr w:type="spellEnd"/>
      <w:r>
        <w:t>, wydawca katolickiego pisma „St. Anthony Messenger”, maj 1973 rok, strona 21.</w:t>
      </w:r>
    </w:p>
    <w:p w:rsidR="00C70C78" w:rsidRDefault="00C70C78" w:rsidP="00C70C78">
      <w:pPr>
        <w:pStyle w:val="sv"/>
      </w:pPr>
      <w:r>
        <w:t xml:space="preserve">„Choć żyjemy w ciele, nie według ciała walczymy.” — </w:t>
      </w:r>
      <w:hyperlink r:id="rId15" w:history="1">
        <w:r>
          <w:rPr>
            <w:rStyle w:val="Hipercze"/>
          </w:rPr>
          <w:t>List 2 do Koryntian 10:3</w:t>
        </w:r>
      </w:hyperlink>
      <w:r>
        <w:t>, </w:t>
      </w:r>
      <w:proofErr w:type="spellStart"/>
      <w:r>
        <w:rPr>
          <w:rStyle w:val="Uwydatnienie"/>
        </w:rPr>
        <w:t>Wk</w:t>
      </w:r>
      <w:proofErr w:type="spellEnd"/>
      <w:r>
        <w:t>.</w:t>
      </w:r>
    </w:p>
    <w:p w:rsidR="00C70C78" w:rsidRDefault="00C70C78" w:rsidP="00C70C78">
      <w:pPr>
        <w:pStyle w:val="sv"/>
      </w:pPr>
      <w:r>
        <w:lastRenderedPageBreak/>
        <w:t xml:space="preserve">„Broń, którą walczymy, nie jest cielesna [nie pochodzi od ludzi, Knox].” — List </w:t>
      </w:r>
      <w:hyperlink r:id="rId16" w:history="1">
        <w:r>
          <w:rPr>
            <w:rStyle w:val="Hipercze"/>
          </w:rPr>
          <w:t>2 do Koryntian 10:4</w:t>
        </w:r>
      </w:hyperlink>
      <w:r>
        <w:t>, </w:t>
      </w:r>
      <w:proofErr w:type="spellStart"/>
      <w:r>
        <w:rPr>
          <w:rStyle w:val="Uwydatnienie"/>
        </w:rPr>
        <w:t>Kow</w:t>
      </w:r>
      <w:proofErr w:type="spellEnd"/>
      <w:r>
        <w:t>.</w:t>
      </w:r>
    </w:p>
    <w:p w:rsidR="00C70C78" w:rsidRDefault="00C70C78" w:rsidP="00C70C78">
      <w:pPr>
        <w:pStyle w:val="se"/>
      </w:pPr>
      <w:r>
        <w:rPr>
          <w:rStyle w:val="Pogrubienie"/>
        </w:rPr>
        <w:t>Mieszanie się do polityki</w:t>
      </w:r>
    </w:p>
    <w:p w:rsidR="00C70C78" w:rsidRDefault="00C70C78" w:rsidP="00C70C78">
      <w:pPr>
        <w:pStyle w:val="sc"/>
      </w:pPr>
      <w:r>
        <w:t>„Wszyscy chrześcijanie powinni należycie wyzyskać swe osobiste, szczególne powołanie, jakie mają w społeczeństwie politycznym.” — „Dokumenty drugiego Soboru Watykańskiego”, strona 286 wydania angielskiego.</w:t>
      </w:r>
    </w:p>
    <w:p w:rsidR="00C70C78" w:rsidRDefault="00C70C78" w:rsidP="00C70C78">
      <w:pPr>
        <w:pStyle w:val="se"/>
      </w:pPr>
      <w:r>
        <w:t>„Niech ci, którzy się do tego nadają lub mogą nadawać, przygotowują się do trudnej, ale jakże zaszczytnej sztuki uprawiania polityki.” — Tamże, na stronie 287.</w:t>
      </w:r>
    </w:p>
    <w:p w:rsidR="00C70C78" w:rsidRDefault="00C70C78" w:rsidP="00C70C78">
      <w:pPr>
        <w:pStyle w:val="sv"/>
      </w:pPr>
      <w:r>
        <w:t xml:space="preserve">„Nie są ze świata, jak i ja [Jezus] nie jestem ze świata.” — Ewangelia według </w:t>
      </w:r>
      <w:hyperlink r:id="rId17" w:history="1">
        <w:r>
          <w:rPr>
            <w:rStyle w:val="Hipercze"/>
          </w:rPr>
          <w:t>Jana 17:16</w:t>
        </w:r>
      </w:hyperlink>
      <w:r>
        <w:t>, </w:t>
      </w:r>
      <w:proofErr w:type="spellStart"/>
      <w:r>
        <w:rPr>
          <w:rStyle w:val="Uwydatnienie"/>
        </w:rPr>
        <w:t>Wk</w:t>
      </w:r>
      <w:proofErr w:type="spellEnd"/>
      <w:r>
        <w:t>.</w:t>
      </w:r>
    </w:p>
    <w:p w:rsidR="00C70C78" w:rsidRDefault="00C70C78" w:rsidP="00C70C78">
      <w:pPr>
        <w:pStyle w:val="sv"/>
      </w:pPr>
      <w:r>
        <w:t xml:space="preserve">„Cały zaś świat leży w mocy Złego.” — List </w:t>
      </w:r>
      <w:hyperlink r:id="rId18" w:history="1">
        <w:r>
          <w:rPr>
            <w:rStyle w:val="Hipercze"/>
          </w:rPr>
          <w:t>1 Jana 5:19</w:t>
        </w:r>
      </w:hyperlink>
      <w:r>
        <w:t>, </w:t>
      </w:r>
      <w:r>
        <w:rPr>
          <w:rStyle w:val="Uwydatnienie"/>
        </w:rPr>
        <w:t>BT</w:t>
      </w:r>
      <w:r>
        <w:t>.</w:t>
      </w:r>
    </w:p>
    <w:p w:rsidR="00C70C78" w:rsidRDefault="00C70C78" w:rsidP="00C70C78">
      <w:pPr>
        <w:pStyle w:val="sv"/>
      </w:pPr>
      <w:r>
        <w:t xml:space="preserve">„Czy nie wiecie, że przyjaźń ze światem jest nieprzyjaźnią z Bogiem?” — List </w:t>
      </w:r>
      <w:hyperlink r:id="rId19" w:history="1">
        <w:r>
          <w:rPr>
            <w:rStyle w:val="Hipercze"/>
          </w:rPr>
          <w:t>Jakuba 4:4</w:t>
        </w:r>
      </w:hyperlink>
      <w:r>
        <w:t>, </w:t>
      </w:r>
      <w:r>
        <w:rPr>
          <w:rStyle w:val="Uwydatnienie"/>
        </w:rPr>
        <w:t>BT</w:t>
      </w:r>
      <w:r>
        <w:t>.</w:t>
      </w:r>
    </w:p>
    <w:p w:rsidR="00C70C78" w:rsidRDefault="00C70C78" w:rsidP="00C70C78">
      <w:pPr>
        <w:pStyle w:val="se"/>
      </w:pPr>
      <w:r>
        <w:rPr>
          <w:rStyle w:val="Pogrubienie"/>
        </w:rPr>
        <w:t>Kim jest Bóg, a kim Chrystus</w:t>
      </w:r>
    </w:p>
    <w:p w:rsidR="00C70C78" w:rsidRDefault="00C70C78" w:rsidP="00C70C78">
      <w:pPr>
        <w:pStyle w:val="sc"/>
      </w:pPr>
      <w:r>
        <w:t>„Bóg jest jeden, ale są w Nim trzy Osoby Boskie.” — Ks. dr Cz. Piotrowski: „Katechizm podstawowy”, strona 19.</w:t>
      </w:r>
    </w:p>
    <w:p w:rsidR="00C70C78" w:rsidRDefault="00C70C78" w:rsidP="00C70C78">
      <w:pPr>
        <w:pStyle w:val="sv"/>
      </w:pPr>
      <w:r>
        <w:t xml:space="preserve">„Słuchaj, Izraelu! Pan, Bóg nasz, Pan jeden jest.” — Księga </w:t>
      </w:r>
      <w:hyperlink r:id="rId20" w:history="1">
        <w:r>
          <w:rPr>
            <w:rStyle w:val="Hipercze"/>
          </w:rPr>
          <w:t>Powtórzonego Prawa 6:4</w:t>
        </w:r>
      </w:hyperlink>
      <w:r>
        <w:t>, </w:t>
      </w:r>
      <w:proofErr w:type="spellStart"/>
      <w:r>
        <w:rPr>
          <w:rStyle w:val="Uwydatnienie"/>
        </w:rPr>
        <w:t>Wk</w:t>
      </w:r>
      <w:proofErr w:type="spellEnd"/>
      <w:r>
        <w:t>.</w:t>
      </w:r>
    </w:p>
    <w:p w:rsidR="00C70C78" w:rsidRDefault="00C70C78" w:rsidP="00C70C78">
      <w:pPr>
        <w:pStyle w:val="se"/>
      </w:pPr>
      <w:r>
        <w:t>„Wszystkie trzy Osoby Boskie są sobie doskonale równe.” — „A </w:t>
      </w:r>
      <w:proofErr w:type="spellStart"/>
      <w:r>
        <w:t>Catechism</w:t>
      </w:r>
      <w:proofErr w:type="spellEnd"/>
      <w:r>
        <w:t xml:space="preserve"> of Christian </w:t>
      </w:r>
      <w:proofErr w:type="spellStart"/>
      <w:r>
        <w:t>Doctrine</w:t>
      </w:r>
      <w:proofErr w:type="spellEnd"/>
      <w:r>
        <w:t>”, strona 26.</w:t>
      </w:r>
    </w:p>
    <w:p w:rsidR="00C70C78" w:rsidRDefault="00C70C78" w:rsidP="00C70C78">
      <w:pPr>
        <w:pStyle w:val="sv"/>
      </w:pPr>
      <w:r>
        <w:t xml:space="preserve">Jezus powiedział: „Ojciec większy jest ode Mnie.” — Ewangelia według </w:t>
      </w:r>
      <w:hyperlink r:id="rId21" w:history="1">
        <w:r>
          <w:rPr>
            <w:rStyle w:val="Hipercze"/>
          </w:rPr>
          <w:t>Jana 14:28</w:t>
        </w:r>
      </w:hyperlink>
      <w:r>
        <w:t>, </w:t>
      </w:r>
      <w:r>
        <w:rPr>
          <w:rStyle w:val="Uwydatnienie"/>
        </w:rPr>
        <w:t>BT</w:t>
      </w:r>
      <w:r>
        <w:t>.</w:t>
      </w:r>
    </w:p>
    <w:p w:rsidR="00C70C78" w:rsidRDefault="00C70C78" w:rsidP="00C70C78">
      <w:pPr>
        <w:pStyle w:val="se"/>
      </w:pPr>
      <w:r>
        <w:t>Chrystus i jego Ojciec „posiadają jednakową, wszechstronną wiedzę o sobie nawzajem.” — „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Catholic</w:t>
      </w:r>
      <w:proofErr w:type="spellEnd"/>
      <w:r>
        <w:t xml:space="preserve"> </w:t>
      </w:r>
      <w:proofErr w:type="spellStart"/>
      <w:r>
        <w:t>Encyclopedia</w:t>
      </w:r>
      <w:proofErr w:type="spellEnd"/>
      <w:r>
        <w:t xml:space="preserve"> for </w:t>
      </w:r>
      <w:proofErr w:type="spellStart"/>
      <w:r>
        <w:t>School</w:t>
      </w:r>
      <w:proofErr w:type="spellEnd"/>
      <w:r>
        <w:t xml:space="preserve"> and Home”, tom 5, strona 673, 674.</w:t>
      </w:r>
    </w:p>
    <w:p w:rsidR="00C70C78" w:rsidRDefault="00C70C78" w:rsidP="00C70C78">
      <w:pPr>
        <w:pStyle w:val="sv"/>
      </w:pPr>
      <w:r>
        <w:t xml:space="preserve">„O dniu owym albo godzinie nikt nie wie, ani aniołowie w niebie, ani Syn, tylko Ojciec.” — Ewangelia według </w:t>
      </w:r>
      <w:hyperlink r:id="rId22" w:history="1">
        <w:r>
          <w:rPr>
            <w:rStyle w:val="Hipercze"/>
          </w:rPr>
          <w:t>Marka 13:32</w:t>
        </w:r>
      </w:hyperlink>
      <w:r>
        <w:t>, </w:t>
      </w:r>
      <w:proofErr w:type="spellStart"/>
      <w:r>
        <w:rPr>
          <w:rStyle w:val="Uwydatnienie"/>
        </w:rPr>
        <w:t>Wk</w:t>
      </w:r>
      <w:proofErr w:type="spellEnd"/>
      <w:r>
        <w:t>.</w:t>
      </w:r>
    </w:p>
    <w:p w:rsidR="00C70C78" w:rsidRDefault="00C70C78" w:rsidP="00C70C78">
      <w:pPr>
        <w:pStyle w:val="se"/>
      </w:pPr>
      <w:r>
        <w:rPr>
          <w:rStyle w:val="Pogrubienie"/>
        </w:rPr>
        <w:t>Co dzieje się z duszą przy śmierci</w:t>
      </w:r>
    </w:p>
    <w:p w:rsidR="00C70C78" w:rsidRDefault="00C70C78" w:rsidP="00C70C78">
      <w:pPr>
        <w:pStyle w:val="sc"/>
      </w:pPr>
      <w:r>
        <w:t>„Dusza ludzka (...) jest bytem duchowym, nieśmiertelnym, obdarzonym rozumem i wolną wolą.” — „Katechizm religii katolickiej”, strona 22.</w:t>
      </w:r>
    </w:p>
    <w:p w:rsidR="00C70C78" w:rsidRDefault="00C70C78" w:rsidP="00C70C78">
      <w:pPr>
        <w:pStyle w:val="sv"/>
      </w:pPr>
      <w:r>
        <w:t xml:space="preserve">„Dusza, która zgrzeszy, ta umrze.” — Księga </w:t>
      </w:r>
      <w:hyperlink r:id="rId23" w:history="1">
        <w:r>
          <w:rPr>
            <w:rStyle w:val="Hipercze"/>
          </w:rPr>
          <w:t>Ezechiela 18:4</w:t>
        </w:r>
      </w:hyperlink>
      <w:r>
        <w:t>, </w:t>
      </w:r>
      <w:proofErr w:type="spellStart"/>
      <w:r>
        <w:rPr>
          <w:rStyle w:val="Uwydatnienie"/>
        </w:rPr>
        <w:t>Wk</w:t>
      </w:r>
      <w:proofErr w:type="spellEnd"/>
      <w:r>
        <w:t>.</w:t>
      </w:r>
    </w:p>
    <w:p w:rsidR="00C70C78" w:rsidRDefault="00C70C78" w:rsidP="00C70C78">
      <w:pPr>
        <w:pStyle w:val="sv"/>
      </w:pPr>
      <w:r>
        <w:t xml:space="preserve">„Wszelka dusza, która by nie słuchała proroka </w:t>
      </w:r>
      <w:proofErr w:type="spellStart"/>
      <w:r>
        <w:t>onego</w:t>
      </w:r>
      <w:proofErr w:type="spellEnd"/>
      <w:r>
        <w:t xml:space="preserve">, będzie wykorzeniona.” — </w:t>
      </w:r>
      <w:hyperlink r:id="rId24" w:history="1">
        <w:r>
          <w:rPr>
            <w:rStyle w:val="Hipercze"/>
          </w:rPr>
          <w:t>Dzieje Apostolskie 3:23</w:t>
        </w:r>
      </w:hyperlink>
      <w:r>
        <w:t xml:space="preserve">, </w:t>
      </w:r>
      <w:proofErr w:type="spellStart"/>
      <w:r>
        <w:rPr>
          <w:rStyle w:val="Uwydatnienie"/>
        </w:rPr>
        <w:t>Wk</w:t>
      </w:r>
      <w:proofErr w:type="spellEnd"/>
      <w:r>
        <w:rPr>
          <w:rStyle w:val="Uwydatnienie"/>
        </w:rPr>
        <w:t xml:space="preserve"> </w:t>
      </w:r>
      <w:r>
        <w:t>(1599).</w:t>
      </w:r>
    </w:p>
    <w:p w:rsidR="00C70C78" w:rsidRDefault="00C70C78" w:rsidP="00C70C78">
      <w:pPr>
        <w:pStyle w:val="se"/>
      </w:pPr>
      <w:r>
        <w:t xml:space="preserve">„Nauka, że dusza ludzka jest nieśmiertelna i nie ginie także po śmierci człowieka, (...) to jeden z kamieni węgielnych filozofii i teologii chrześcijańskiej.” — „New </w:t>
      </w:r>
      <w:proofErr w:type="spellStart"/>
      <w:r>
        <w:t>Catholic</w:t>
      </w:r>
      <w:proofErr w:type="spellEnd"/>
      <w:r>
        <w:t xml:space="preserve"> </w:t>
      </w:r>
      <w:proofErr w:type="spellStart"/>
      <w:r>
        <w:t>Encyclopedia</w:t>
      </w:r>
      <w:proofErr w:type="spellEnd"/>
      <w:r>
        <w:t>”, tom 13, strona 464.</w:t>
      </w:r>
    </w:p>
    <w:p w:rsidR="00C70C78" w:rsidRDefault="00C70C78" w:rsidP="00C70C78">
      <w:pPr>
        <w:pStyle w:val="sv"/>
      </w:pPr>
      <w:r>
        <w:lastRenderedPageBreak/>
        <w:t>„Nie ma żadnej czynności ni rozumienia, ani poznania, ani mądrości w </w:t>
      </w:r>
      <w:proofErr w:type="spellStart"/>
      <w:r>
        <w:t>Szeolu</w:t>
      </w:r>
      <w:proofErr w:type="spellEnd"/>
      <w:r>
        <w:t xml:space="preserve"> [w piekle, </w:t>
      </w:r>
      <w:proofErr w:type="spellStart"/>
      <w:r>
        <w:rPr>
          <w:rStyle w:val="Uwydatnienie"/>
        </w:rPr>
        <w:t>Wk</w:t>
      </w:r>
      <w:proofErr w:type="spellEnd"/>
      <w:r>
        <w:t xml:space="preserve">, 1599], do którego ty zdążasz.” — Księga </w:t>
      </w:r>
      <w:hyperlink r:id="rId25" w:history="1">
        <w:proofErr w:type="spellStart"/>
        <w:r>
          <w:rPr>
            <w:rStyle w:val="Hipercze"/>
          </w:rPr>
          <w:t>Koheleta</w:t>
        </w:r>
        <w:proofErr w:type="spellEnd"/>
        <w:r>
          <w:rPr>
            <w:rStyle w:val="Hipercze"/>
          </w:rPr>
          <w:t xml:space="preserve"> 9:10</w:t>
        </w:r>
      </w:hyperlink>
      <w:r>
        <w:t>, </w:t>
      </w:r>
      <w:r>
        <w:rPr>
          <w:rStyle w:val="Uwydatnienie"/>
        </w:rPr>
        <w:t>BT</w:t>
      </w:r>
      <w:r>
        <w:t>.</w:t>
      </w:r>
    </w:p>
    <w:p w:rsidR="00C70C78" w:rsidRDefault="00C70C78" w:rsidP="00C70C78">
      <w:pPr>
        <w:pStyle w:val="se"/>
      </w:pPr>
      <w:r>
        <w:t>„Ukarani w piekle (...) po wszystkie wieki znoszą straszne męki, zwłaszcza ogniowe.” — „A </w:t>
      </w:r>
      <w:proofErr w:type="spellStart"/>
      <w:r>
        <w:t>Catechism</w:t>
      </w:r>
      <w:proofErr w:type="spellEnd"/>
      <w:r>
        <w:t xml:space="preserve"> of Christian </w:t>
      </w:r>
      <w:proofErr w:type="spellStart"/>
      <w:r>
        <w:t>Doctrine</w:t>
      </w:r>
      <w:proofErr w:type="spellEnd"/>
      <w:r>
        <w:t>”, strona 144.</w:t>
      </w:r>
    </w:p>
    <w:p w:rsidR="00C70C78" w:rsidRDefault="00C70C78" w:rsidP="00C70C78">
      <w:pPr>
        <w:pStyle w:val="sv"/>
      </w:pPr>
      <w:r>
        <w:t xml:space="preserve">„Nie ufajcie (...) synom ludzkim, (...) wróci [taki] do ziemi swej, w dniu </w:t>
      </w:r>
      <w:proofErr w:type="spellStart"/>
      <w:r>
        <w:t>onym</w:t>
      </w:r>
      <w:proofErr w:type="spellEnd"/>
      <w:r>
        <w:t xml:space="preserve"> zginą myśli jego.” — </w:t>
      </w:r>
      <w:hyperlink r:id="rId26" w:history="1">
        <w:r>
          <w:rPr>
            <w:rStyle w:val="Hipercze"/>
          </w:rPr>
          <w:t>Psalm 145:3, 4</w:t>
        </w:r>
      </w:hyperlink>
      <w:r>
        <w:t xml:space="preserve">, </w:t>
      </w:r>
      <w:r>
        <w:rPr>
          <w:rStyle w:val="Uwydatnienie"/>
        </w:rPr>
        <w:t>Kruszyński</w:t>
      </w:r>
      <w:r>
        <w:t>.</w:t>
      </w:r>
    </w:p>
    <w:p w:rsidR="00C70C78" w:rsidRDefault="00C70C78" w:rsidP="00C70C78">
      <w:pPr>
        <w:pStyle w:val="sv"/>
      </w:pPr>
      <w:r>
        <w:t xml:space="preserve">„Zmarli niczego zgoła nie wiedzą.” — Księga </w:t>
      </w:r>
      <w:hyperlink r:id="rId27" w:history="1">
        <w:proofErr w:type="spellStart"/>
        <w:r>
          <w:rPr>
            <w:rStyle w:val="Hipercze"/>
          </w:rPr>
          <w:t>Koheleta</w:t>
        </w:r>
        <w:proofErr w:type="spellEnd"/>
        <w:r>
          <w:rPr>
            <w:rStyle w:val="Hipercze"/>
          </w:rPr>
          <w:t xml:space="preserve"> 9:5</w:t>
        </w:r>
      </w:hyperlink>
      <w:r>
        <w:t>, </w:t>
      </w:r>
      <w:r>
        <w:rPr>
          <w:rStyle w:val="Uwydatnienie"/>
        </w:rPr>
        <w:t>BT</w:t>
      </w:r>
      <w:r>
        <w:t>.</w:t>
      </w:r>
    </w:p>
    <w:p w:rsidR="00C70C78" w:rsidRDefault="00C70C78" w:rsidP="00C70C78">
      <w:pPr>
        <w:pStyle w:val="se"/>
      </w:pPr>
      <w:r>
        <w:rPr>
          <w:rStyle w:val="Pogrubienie"/>
        </w:rPr>
        <w:t>Podstawa nauk</w:t>
      </w:r>
    </w:p>
    <w:p w:rsidR="00C70C78" w:rsidRDefault="00C70C78" w:rsidP="00C70C78">
      <w:pPr>
        <w:pStyle w:val="sc"/>
      </w:pPr>
      <w:r>
        <w:t>„Nie tylko z Pisma świętego Kościół czerpie pewność tego wszystkiego, co zostało objawione.” — „Dokumenty drugiego Soboru Watykańskiego”, strona 117 wydania angielskiego.</w:t>
      </w:r>
    </w:p>
    <w:p w:rsidR="00C70C78" w:rsidRDefault="00C70C78" w:rsidP="00C70C78">
      <w:pPr>
        <w:pStyle w:val="se"/>
      </w:pPr>
      <w:r>
        <w:t>„Zarówno święta tradycja, jak i Pismo święte, mają być uznawane i szanowane z takim samym oddaniem i czcią.” — Tamże, strona 117.</w:t>
      </w:r>
    </w:p>
    <w:p w:rsidR="00C70C78" w:rsidRDefault="00C70C78" w:rsidP="00C70C78">
      <w:pPr>
        <w:pStyle w:val="sv"/>
      </w:pPr>
      <w:r>
        <w:t xml:space="preserve">„Wszelkie Pismo od Boga natchnione jest (...) — aby człowiek Boży był doskonały, przysposobiony do każdego dobrego czynu.” — List </w:t>
      </w:r>
      <w:hyperlink r:id="rId28" w:history="1">
        <w:r>
          <w:rPr>
            <w:rStyle w:val="Hipercze"/>
          </w:rPr>
          <w:t>2 do Tymoteusza 3:16, 17</w:t>
        </w:r>
      </w:hyperlink>
      <w:r>
        <w:t>, </w:t>
      </w:r>
      <w:r>
        <w:rPr>
          <w:rStyle w:val="Uwydatnienie"/>
        </w:rPr>
        <w:t>BT</w:t>
      </w:r>
      <w:r>
        <w:t>.</w:t>
      </w:r>
    </w:p>
    <w:p w:rsidR="00C70C78" w:rsidRDefault="00C70C78" w:rsidP="00C70C78">
      <w:pPr>
        <w:pStyle w:val="sv"/>
      </w:pPr>
      <w:r>
        <w:t xml:space="preserve">„Baczcie, aby kto was nie zagarnął w niewolę przez (...) filozofię będącą czczym oszustwem, opartą na ludzkiej tylko tradycji.” — List do </w:t>
      </w:r>
      <w:hyperlink r:id="rId29" w:history="1">
        <w:proofErr w:type="spellStart"/>
        <w:r>
          <w:rPr>
            <w:rStyle w:val="Hipercze"/>
          </w:rPr>
          <w:t>Kolosan</w:t>
        </w:r>
        <w:proofErr w:type="spellEnd"/>
        <w:r>
          <w:rPr>
            <w:rStyle w:val="Hipercze"/>
          </w:rPr>
          <w:t xml:space="preserve"> 2:8</w:t>
        </w:r>
      </w:hyperlink>
      <w:r>
        <w:t>, </w:t>
      </w:r>
      <w:r>
        <w:rPr>
          <w:rStyle w:val="Uwydatnienie"/>
        </w:rPr>
        <w:t>BT</w:t>
      </w:r>
      <w:r>
        <w:t>.</w:t>
      </w:r>
    </w:p>
    <w:p w:rsidR="00C70C78" w:rsidRDefault="00C70C78" w:rsidP="00C70C78">
      <w:pPr>
        <w:pStyle w:val="sb"/>
      </w:pPr>
      <w:r>
        <w:t>Czy wysoko cenisz prawdę? Czy ją miłujesz? Jeżeli tak, to nie poczujesz się urażony faktami przedstawionymi w tym artykule.</w:t>
      </w:r>
    </w:p>
    <w:p w:rsidR="00C70C78" w:rsidRDefault="00C70C78" w:rsidP="00C70C78">
      <w:pPr>
        <w:pStyle w:val="sb"/>
      </w:pPr>
      <w:r>
        <w:t xml:space="preserve">Przeciwnie, przekonawszy się teraz na własne oczy, że nauki Kościoła katolickiego nie pokrywają się z Biblią, powinieneś powziąć pewną ważną decyzję. Czy rzeczywiście twoim pragnieniem jest wielbić Boga w sposób, który podoba się Jemu? Czy możesz to czynić, nadal usiłując oddawać mu cześć w gronie tych, którzy stawiają tradycje ludzkie ponad prawdę Słowa Bożego? Pamiętaj, co powiedział Jezus: „Prawdziwi czciciele będą oddawać cześć Ojcu w Duchu i prawdzie, a takich to czcicieli chce mieć Ojciec”. — </w:t>
      </w:r>
      <w:hyperlink r:id="rId30" w:history="1">
        <w:r>
          <w:rPr>
            <w:rStyle w:val="Hipercze"/>
          </w:rPr>
          <w:t>Jana 4:23</w:t>
        </w:r>
      </w:hyperlink>
      <w:r>
        <w:t>.</w:t>
      </w:r>
    </w:p>
    <w:p w:rsidR="00A40A40" w:rsidRDefault="00A40A40"/>
    <w:sectPr w:rsidR="00A40A40" w:rsidSect="00A40A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70C78"/>
    <w:rsid w:val="00A40A40"/>
    <w:rsid w:val="00C70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0A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">
    <w:name w:val="st"/>
    <w:basedOn w:val="Normalny"/>
    <w:rsid w:val="00C70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70C78"/>
    <w:rPr>
      <w:b/>
      <w:bCs/>
    </w:rPr>
  </w:style>
  <w:style w:type="paragraph" w:customStyle="1" w:styleId="sb">
    <w:name w:val="sb"/>
    <w:basedOn w:val="Normalny"/>
    <w:rsid w:val="00C70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C70C78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70C78"/>
    <w:rPr>
      <w:color w:val="0000FF"/>
      <w:u w:val="single"/>
    </w:rPr>
  </w:style>
  <w:style w:type="paragraph" w:customStyle="1" w:styleId="ss">
    <w:name w:val="ss"/>
    <w:basedOn w:val="Normalny"/>
    <w:rsid w:val="00C70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e">
    <w:name w:val="se"/>
    <w:basedOn w:val="Normalny"/>
    <w:rsid w:val="00C70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c">
    <w:name w:val="sc"/>
    <w:basedOn w:val="Normalny"/>
    <w:rsid w:val="00C70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v">
    <w:name w:val="sv"/>
    <w:basedOn w:val="Normalny"/>
    <w:rsid w:val="00C70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1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1920x12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l.jw.org/pl/wol/bc/r12/lp-p/1973680/4/0" TargetMode="External"/><Relationship Id="rId13" Type="http://schemas.openxmlformats.org/officeDocument/2006/relationships/hyperlink" Target="https://wol.jw.org/pl/wol/bc/r12/lp-p/1973680/8/0" TargetMode="External"/><Relationship Id="rId18" Type="http://schemas.openxmlformats.org/officeDocument/2006/relationships/hyperlink" Target="https://wol.jw.org/pl/wol/bc/r12/lp-p/1973680/12/0" TargetMode="External"/><Relationship Id="rId26" Type="http://schemas.openxmlformats.org/officeDocument/2006/relationships/hyperlink" Target="https://wol.jw.org/pl/wol/bc/r12/lp-p/1973680/20/0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ol.jw.org/pl/wol/bc/r12/lp-p/1973680/15/0" TargetMode="External"/><Relationship Id="rId7" Type="http://schemas.openxmlformats.org/officeDocument/2006/relationships/hyperlink" Target="https://wol.jw.org/pl/wol/bc/r12/lp-p/1973680/3/0" TargetMode="External"/><Relationship Id="rId12" Type="http://schemas.openxmlformats.org/officeDocument/2006/relationships/hyperlink" Target="https://wol.jw.org/pl/wol/bc/r12/lp-p/1973680/7/0" TargetMode="External"/><Relationship Id="rId17" Type="http://schemas.openxmlformats.org/officeDocument/2006/relationships/hyperlink" Target="https://wol.jw.org/pl/wol/bc/r12/lp-p/1973680/11/0" TargetMode="External"/><Relationship Id="rId25" Type="http://schemas.openxmlformats.org/officeDocument/2006/relationships/hyperlink" Target="https://wol.jw.org/pl/wol/bc/r12/lp-p/1973680/19/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ol.jw.org/pl/wol/bc/r12/lp-p/1973680/10/0" TargetMode="External"/><Relationship Id="rId20" Type="http://schemas.openxmlformats.org/officeDocument/2006/relationships/hyperlink" Target="https://wol.jw.org/pl/wol/bc/r12/lp-p/1973680/14/0" TargetMode="External"/><Relationship Id="rId29" Type="http://schemas.openxmlformats.org/officeDocument/2006/relationships/hyperlink" Target="https://wol.jw.org/pl/wol/bc/r12/lp-p/1973680/23/0" TargetMode="External"/><Relationship Id="rId1" Type="http://schemas.openxmlformats.org/officeDocument/2006/relationships/styles" Target="styles.xml"/><Relationship Id="rId6" Type="http://schemas.openxmlformats.org/officeDocument/2006/relationships/hyperlink" Target="https://wol.jw.org/pl/wol/bc/r12/lp-p/1973680/2/0" TargetMode="External"/><Relationship Id="rId11" Type="http://schemas.openxmlformats.org/officeDocument/2006/relationships/hyperlink" Target="https://wol.jw.org/pl/wol/bc/r12/lp-p/1973680/6/1" TargetMode="External"/><Relationship Id="rId24" Type="http://schemas.openxmlformats.org/officeDocument/2006/relationships/hyperlink" Target="https://wol.jw.org/pl/wol/bc/r12/lp-p/1973680/18/0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ol.jw.org/pl/wol/bc/r12/lp-p/1973680/1/0" TargetMode="External"/><Relationship Id="rId15" Type="http://schemas.openxmlformats.org/officeDocument/2006/relationships/hyperlink" Target="https://wol.jw.org/pl/wol/bc/r12/lp-p/1973680/9/0" TargetMode="External"/><Relationship Id="rId23" Type="http://schemas.openxmlformats.org/officeDocument/2006/relationships/hyperlink" Target="https://wol.jw.org/pl/wol/bc/r12/lp-p/1973680/17/0" TargetMode="External"/><Relationship Id="rId28" Type="http://schemas.openxmlformats.org/officeDocument/2006/relationships/hyperlink" Target="https://wol.jw.org/pl/wol/bc/r12/lp-p/1973680/22/0" TargetMode="External"/><Relationship Id="rId10" Type="http://schemas.openxmlformats.org/officeDocument/2006/relationships/hyperlink" Target="https://wol.jw.org/pl/wol/bc/r12/lp-p/1973680/6/0" TargetMode="External"/><Relationship Id="rId19" Type="http://schemas.openxmlformats.org/officeDocument/2006/relationships/hyperlink" Target="https://wol.jw.org/pl/wol/bc/r12/lp-p/1973680/13/0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wol.jw.org/pl/wol/bc/r12/lp-p/1973680/0/0" TargetMode="External"/><Relationship Id="rId9" Type="http://schemas.openxmlformats.org/officeDocument/2006/relationships/hyperlink" Target="https://wol.jw.org/pl/wol/bc/r12/lp-p/1973680/5/0" TargetMode="External"/><Relationship Id="rId14" Type="http://schemas.openxmlformats.org/officeDocument/2006/relationships/hyperlink" Target="https://wol.jw.org/pl/wol/bc/r12/lp-p/1973680/8/1" TargetMode="External"/><Relationship Id="rId22" Type="http://schemas.openxmlformats.org/officeDocument/2006/relationships/hyperlink" Target="https://wol.jw.org/pl/wol/bc/r12/lp-p/1973680/16/0" TargetMode="External"/><Relationship Id="rId27" Type="http://schemas.openxmlformats.org/officeDocument/2006/relationships/hyperlink" Target="https://wol.jw.org/pl/wol/bc/r12/lp-p/1973680/21/0" TargetMode="External"/><Relationship Id="rId30" Type="http://schemas.openxmlformats.org/officeDocument/2006/relationships/hyperlink" Target="https://wol.jw.org/pl/wol/bc/r12/lp-p/1973680/24/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1969</Words>
  <Characters>11816</Characters>
  <Application>Microsoft Office Word</Application>
  <DocSecurity>0</DocSecurity>
  <Lines>98</Lines>
  <Paragraphs>27</Paragraphs>
  <ScaleCrop>false</ScaleCrop>
  <Company/>
  <LinksUpToDate>false</LinksUpToDate>
  <CharactersWithSpaces>13758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Brzozowski</dc:creator>
  <cp:lastModifiedBy>Andrzej Brzozowski</cp:lastModifiedBy>
  <cp:revision>1</cp:revision>
  <dcterms:created xsi:type="dcterms:W3CDTF">2021-08-06T10:46:00Z</dcterms:created>
  <dcterms:modified xsi:type="dcterms:W3CDTF">2021-08-06T10:49:00Z</dcterms:modified>
</cp:coreProperties>
</file>